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05E" w:rsidRDefault="00A87D8A" w:rsidP="00A87D8A">
      <w:pPr>
        <w:pStyle w:val="BodyText"/>
        <w:spacing w:before="74" w:line="360" w:lineRule="auto"/>
        <w:ind w:left="1"/>
        <w:jc w:val="center"/>
        <w:rPr>
          <w:rFonts w:ascii="Times New Roman" w:hAnsi="Times New Roman" w:cs="Times New Roman"/>
          <w:spacing w:val="-2"/>
          <w:sz w:val="32"/>
          <w:szCs w:val="32"/>
        </w:rPr>
      </w:pPr>
      <w:r w:rsidRPr="00A87D8A">
        <w:rPr>
          <w:rFonts w:ascii="Times New Roman" w:hAnsi="Times New Roman" w:cs="Times New Roman"/>
          <w:sz w:val="32"/>
          <w:szCs w:val="32"/>
        </w:rPr>
        <w:t>POLÍTICA</w:t>
      </w:r>
      <w:r w:rsidRPr="00A87D8A">
        <w:rPr>
          <w:rFonts w:ascii="Times New Roman" w:hAnsi="Times New Roman" w:cs="Times New Roman"/>
          <w:spacing w:val="-7"/>
          <w:sz w:val="32"/>
          <w:szCs w:val="32"/>
        </w:rPr>
        <w:t xml:space="preserve"> </w:t>
      </w:r>
      <w:r w:rsidRPr="00A87D8A">
        <w:rPr>
          <w:rFonts w:ascii="Times New Roman" w:hAnsi="Times New Roman" w:cs="Times New Roman"/>
          <w:sz w:val="32"/>
          <w:szCs w:val="32"/>
        </w:rPr>
        <w:t>DE</w:t>
      </w:r>
      <w:r w:rsidRPr="00A87D8A">
        <w:rPr>
          <w:rFonts w:ascii="Times New Roman" w:hAnsi="Times New Roman" w:cs="Times New Roman"/>
          <w:spacing w:val="-2"/>
          <w:sz w:val="32"/>
          <w:szCs w:val="32"/>
        </w:rPr>
        <w:t xml:space="preserve"> </w:t>
      </w:r>
      <w:r w:rsidRPr="00A87D8A">
        <w:rPr>
          <w:rFonts w:ascii="Times New Roman" w:hAnsi="Times New Roman" w:cs="Times New Roman"/>
          <w:sz w:val="32"/>
          <w:szCs w:val="32"/>
        </w:rPr>
        <w:t>CATEGORIZACIÓN</w:t>
      </w:r>
      <w:r w:rsidRPr="00A87D8A">
        <w:rPr>
          <w:rFonts w:ascii="Times New Roman" w:hAnsi="Times New Roman" w:cs="Times New Roman"/>
          <w:spacing w:val="-2"/>
          <w:sz w:val="32"/>
          <w:szCs w:val="32"/>
        </w:rPr>
        <w:t xml:space="preserve"> </w:t>
      </w:r>
      <w:r w:rsidRPr="00A87D8A">
        <w:rPr>
          <w:rFonts w:ascii="Times New Roman" w:hAnsi="Times New Roman" w:cs="Times New Roman"/>
          <w:sz w:val="32"/>
          <w:szCs w:val="32"/>
        </w:rPr>
        <w:t>DE</w:t>
      </w:r>
      <w:r w:rsidRPr="00A87D8A">
        <w:rPr>
          <w:rFonts w:ascii="Times New Roman" w:hAnsi="Times New Roman" w:cs="Times New Roman"/>
          <w:spacing w:val="-4"/>
          <w:sz w:val="32"/>
          <w:szCs w:val="32"/>
        </w:rPr>
        <w:t xml:space="preserve"> </w:t>
      </w:r>
      <w:r w:rsidRPr="00A87D8A">
        <w:rPr>
          <w:rFonts w:ascii="Times New Roman" w:hAnsi="Times New Roman" w:cs="Times New Roman"/>
          <w:spacing w:val="-2"/>
          <w:sz w:val="32"/>
          <w:szCs w:val="32"/>
        </w:rPr>
        <w:t>CLIENTES</w:t>
      </w:r>
    </w:p>
    <w:p w:rsidR="00A87D8A" w:rsidRPr="00A87D8A" w:rsidRDefault="00A87D8A" w:rsidP="00A87D8A">
      <w:pPr>
        <w:pStyle w:val="BodyText"/>
        <w:spacing w:before="74" w:line="360" w:lineRule="auto"/>
        <w:ind w:left="1"/>
        <w:jc w:val="center"/>
        <w:rPr>
          <w:rFonts w:ascii="Times New Roman" w:hAnsi="Times New Roman" w:cs="Times New Roman"/>
          <w:sz w:val="32"/>
          <w:szCs w:val="32"/>
        </w:rPr>
      </w:pPr>
    </w:p>
    <w:p w:rsidR="00A10867" w:rsidRDefault="00A87D8A" w:rsidP="00A87D8A">
      <w:pPr>
        <w:pStyle w:val="BodyText"/>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Un cliente será categorizado bajo uno de los siguientes encabez</w:t>
      </w:r>
      <w:bookmarkStart w:id="0" w:name="_GoBack"/>
      <w:bookmarkEnd w:id="0"/>
      <w:r w:rsidRPr="00A87D8A">
        <w:rPr>
          <w:rFonts w:ascii="Times New Roman" w:hAnsi="Times New Roman" w:cs="Times New Roman"/>
          <w:b w:val="0"/>
          <w:sz w:val="24"/>
          <w:szCs w:val="24"/>
        </w:rPr>
        <w:t>ados:</w:t>
      </w:r>
    </w:p>
    <w:p w:rsidR="00A10867" w:rsidRPr="00A87D8A" w:rsidRDefault="00A10867" w:rsidP="00A87D8A">
      <w:pPr>
        <w:pStyle w:val="BodyText"/>
        <w:spacing w:line="360" w:lineRule="auto"/>
        <w:jc w:val="both"/>
        <w:rPr>
          <w:rFonts w:ascii="Times New Roman" w:hAnsi="Times New Roman" w:cs="Times New Roman"/>
          <w:b w:val="0"/>
          <w:sz w:val="24"/>
          <w:szCs w:val="24"/>
        </w:rPr>
      </w:pPr>
    </w:p>
    <w:p w:rsidR="00A87D8A" w:rsidRPr="00A87D8A" w:rsidRDefault="00A87D8A" w:rsidP="00A87D8A">
      <w:pPr>
        <w:pStyle w:val="BodyText"/>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 Privado/Minorista</w:t>
      </w:r>
    </w:p>
    <w:p w:rsidR="00A87D8A" w:rsidRPr="00A87D8A" w:rsidRDefault="00A87D8A" w:rsidP="00A87D8A">
      <w:pPr>
        <w:pStyle w:val="BodyText"/>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 Profesional</w:t>
      </w:r>
    </w:p>
    <w:p w:rsidR="00A87D8A" w:rsidRPr="00A87D8A" w:rsidRDefault="00A87D8A" w:rsidP="00A87D8A">
      <w:pPr>
        <w:pStyle w:val="BodyText"/>
        <w:spacing w:line="360" w:lineRule="auto"/>
        <w:jc w:val="both"/>
        <w:rPr>
          <w:rFonts w:ascii="Times New Roman" w:hAnsi="Times New Roman" w:cs="Times New Roman"/>
          <w:b w:val="0"/>
          <w:sz w:val="24"/>
          <w:szCs w:val="24"/>
        </w:rPr>
      </w:pPr>
    </w:p>
    <w:p w:rsidR="00A87D8A" w:rsidRPr="00A87D8A" w:rsidRDefault="00A87D8A" w:rsidP="00A87D8A">
      <w:pPr>
        <w:pStyle w:val="BodyText"/>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“Cliente Privado” es un Cliente que no es un Cliente Profesional por defecto, como se define en el párrafo 2 más abajo. Se observa que a los Clientes Privados se les brinda el más alto nivel de protección. Generalmente, no se considera que un Cliente Priva</w:t>
      </w:r>
      <w:r>
        <w:rPr>
          <w:rFonts w:ascii="Times New Roman" w:hAnsi="Times New Roman" w:cs="Times New Roman"/>
          <w:b w:val="0"/>
          <w:sz w:val="24"/>
          <w:szCs w:val="24"/>
        </w:rPr>
        <w:t xml:space="preserve">do tenga experiencia </w:t>
      </w:r>
      <w:r w:rsidRPr="00A87D8A">
        <w:rPr>
          <w:rFonts w:ascii="Times New Roman" w:hAnsi="Times New Roman" w:cs="Times New Roman"/>
          <w:b w:val="0"/>
          <w:sz w:val="24"/>
          <w:szCs w:val="24"/>
        </w:rPr>
        <w:t>relevante o suficiente para el negocio de inversión.</w:t>
      </w:r>
    </w:p>
    <w:p w:rsidR="00A87D8A" w:rsidRPr="00A87D8A" w:rsidRDefault="00A87D8A" w:rsidP="00A87D8A">
      <w:pPr>
        <w:pStyle w:val="BodyText"/>
        <w:spacing w:line="360" w:lineRule="auto"/>
        <w:jc w:val="both"/>
        <w:rPr>
          <w:rFonts w:ascii="Times New Roman" w:hAnsi="Times New Roman" w:cs="Times New Roman"/>
          <w:b w:val="0"/>
          <w:sz w:val="24"/>
          <w:szCs w:val="24"/>
        </w:rPr>
      </w:pPr>
    </w:p>
    <w:p w:rsidR="00A87D8A" w:rsidRPr="00A87D8A" w:rsidRDefault="00A87D8A" w:rsidP="00A87D8A">
      <w:pPr>
        <w:pStyle w:val="BodyText"/>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“Cliente Profesional” es aquel que es un cliente profesional per se o un cliente profesional electivo) y posee la experiencia, el conocimiento y la pericia para tomar sus propias de</w:t>
      </w:r>
      <w:r>
        <w:rPr>
          <w:rFonts w:ascii="Times New Roman" w:hAnsi="Times New Roman" w:cs="Times New Roman"/>
          <w:b w:val="0"/>
          <w:sz w:val="24"/>
          <w:szCs w:val="24"/>
        </w:rPr>
        <w:t xml:space="preserve">cisiones </w:t>
      </w:r>
      <w:r w:rsidRPr="00A87D8A">
        <w:rPr>
          <w:rFonts w:ascii="Times New Roman" w:hAnsi="Times New Roman" w:cs="Times New Roman"/>
          <w:b w:val="0"/>
          <w:sz w:val="24"/>
          <w:szCs w:val="24"/>
        </w:rPr>
        <w:t>de inversión y evaluar adecuadamente los riesgos en los que incurre.</w:t>
      </w:r>
    </w:p>
    <w:p w:rsidR="00A87D8A" w:rsidRPr="00A87D8A" w:rsidRDefault="00A87D8A" w:rsidP="00A87D8A">
      <w:pPr>
        <w:pStyle w:val="BodyText"/>
        <w:spacing w:line="360" w:lineRule="auto"/>
        <w:jc w:val="both"/>
        <w:rPr>
          <w:rFonts w:ascii="Times New Roman" w:hAnsi="Times New Roman" w:cs="Times New Roman"/>
          <w:b w:val="0"/>
          <w:sz w:val="24"/>
          <w:szCs w:val="24"/>
        </w:rPr>
      </w:pPr>
    </w:p>
    <w:p w:rsidR="00A87D8A" w:rsidRPr="00A87D8A" w:rsidRDefault="00A87D8A" w:rsidP="00A87D8A">
      <w:pPr>
        <w:pStyle w:val="BodyText"/>
        <w:spacing w:line="360" w:lineRule="auto"/>
        <w:jc w:val="both"/>
        <w:rPr>
          <w:rFonts w:ascii="Times New Roman" w:hAnsi="Times New Roman" w:cs="Times New Roman"/>
          <w:sz w:val="24"/>
          <w:szCs w:val="24"/>
        </w:rPr>
      </w:pPr>
      <w:r w:rsidRPr="00A87D8A">
        <w:rPr>
          <w:rFonts w:ascii="Times New Roman" w:hAnsi="Times New Roman" w:cs="Times New Roman"/>
          <w:sz w:val="24"/>
          <w:szCs w:val="24"/>
        </w:rPr>
        <w:t>Reclasificación de clientes Privados como clientes profesionales</w:t>
      </w:r>
    </w:p>
    <w:p w:rsidR="00A87D8A" w:rsidRDefault="00A87D8A" w:rsidP="00A87D8A">
      <w:pPr>
        <w:pStyle w:val="BodyText"/>
        <w:spacing w:line="360" w:lineRule="auto"/>
        <w:jc w:val="both"/>
        <w:rPr>
          <w:rFonts w:ascii="Times New Roman" w:hAnsi="Times New Roman" w:cs="Times New Roman"/>
          <w:b w:val="0"/>
          <w:sz w:val="24"/>
          <w:szCs w:val="24"/>
        </w:rPr>
      </w:pPr>
    </w:p>
    <w:p w:rsidR="00A87D8A" w:rsidRPr="00A87D8A" w:rsidRDefault="00A87D8A" w:rsidP="00A87D8A">
      <w:pPr>
        <w:pStyle w:val="BodyText"/>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Podemos clasificar a un cliente que de otra manera sería un Cliente Privado como un Cliente</w:t>
      </w:r>
    </w:p>
    <w:p w:rsidR="00A87D8A" w:rsidRDefault="00A87D8A" w:rsidP="00A87D8A">
      <w:pPr>
        <w:pStyle w:val="BodyText"/>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Profesional cuando:</w:t>
      </w:r>
    </w:p>
    <w:p w:rsidR="00A87D8A" w:rsidRPr="00A87D8A" w:rsidRDefault="00A87D8A" w:rsidP="00A87D8A">
      <w:pPr>
        <w:pStyle w:val="BodyText"/>
        <w:spacing w:line="360" w:lineRule="auto"/>
        <w:jc w:val="both"/>
        <w:rPr>
          <w:rFonts w:ascii="Times New Roman" w:hAnsi="Times New Roman" w:cs="Times New Roman"/>
          <w:b w:val="0"/>
          <w:sz w:val="24"/>
          <w:szCs w:val="24"/>
        </w:rPr>
      </w:pPr>
    </w:p>
    <w:p w:rsidR="00A87D8A" w:rsidRPr="00A87D8A" w:rsidRDefault="00A87D8A" w:rsidP="00A87D8A">
      <w:pPr>
        <w:pStyle w:val="BodyText"/>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a) el cliente se encuentra dentro de la definición de una persona de alto patrimonio neto</w:t>
      </w:r>
    </w:p>
    <w:p w:rsidR="00A87D8A" w:rsidRPr="00A87D8A" w:rsidRDefault="00A87D8A" w:rsidP="00A87D8A">
      <w:pPr>
        <w:pStyle w:val="BodyText"/>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cuando es un individuo; o</w:t>
      </w:r>
    </w:p>
    <w:p w:rsidR="00A87D8A" w:rsidRPr="00A87D8A" w:rsidRDefault="00A87D8A" w:rsidP="00A87D8A">
      <w:pPr>
        <w:pStyle w:val="BodyText"/>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b) cuando usted, el cliente, se encuentra dentro de la definición de una persona sofisticada</w:t>
      </w:r>
    </w:p>
    <w:p w:rsidR="00A87D8A" w:rsidRDefault="00A87D8A" w:rsidP="00A87D8A">
      <w:pPr>
        <w:pStyle w:val="BodyText"/>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 xml:space="preserve">según el párrafo (d) (i) o (ii) y nosotros, como licenciatario </w:t>
      </w:r>
    </w:p>
    <w:p w:rsidR="00A87D8A" w:rsidRDefault="00A87D8A" w:rsidP="00A87D8A">
      <w:pPr>
        <w:pStyle w:val="BodyText"/>
        <w:numPr>
          <w:ilvl w:val="0"/>
          <w:numId w:val="1"/>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i. hemos tomado las precauciones razonables para determinar que el cliente tiene suficiente</w:t>
      </w:r>
      <w:r>
        <w:rPr>
          <w:rFonts w:ascii="Times New Roman" w:hAnsi="Times New Roman" w:cs="Times New Roman"/>
          <w:b w:val="0"/>
          <w:sz w:val="24"/>
          <w:szCs w:val="24"/>
        </w:rPr>
        <w:t xml:space="preserve"> </w:t>
      </w:r>
      <w:r w:rsidRPr="00A87D8A">
        <w:rPr>
          <w:rFonts w:ascii="Times New Roman" w:hAnsi="Times New Roman" w:cs="Times New Roman"/>
          <w:b w:val="0"/>
          <w:sz w:val="24"/>
          <w:szCs w:val="24"/>
        </w:rPr>
        <w:t>experiencia y comprensión como para no requerir las protecciones provistas para los clientes privados;</w:t>
      </w:r>
    </w:p>
    <w:p w:rsidR="00A87D8A" w:rsidRDefault="00A87D8A" w:rsidP="00A87D8A">
      <w:pPr>
        <w:pStyle w:val="BodyText"/>
        <w:numPr>
          <w:ilvl w:val="0"/>
          <w:numId w:val="1"/>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ii. hemos dado una advertencia clara por escrito al cliente de las protecciones bajo la ley y</w:t>
      </w:r>
      <w:r>
        <w:rPr>
          <w:rFonts w:ascii="Times New Roman" w:hAnsi="Times New Roman" w:cs="Times New Roman"/>
          <w:b w:val="0"/>
          <w:sz w:val="24"/>
          <w:szCs w:val="24"/>
        </w:rPr>
        <w:t xml:space="preserve"> </w:t>
      </w:r>
      <w:r w:rsidRPr="00A87D8A">
        <w:rPr>
          <w:rFonts w:ascii="Times New Roman" w:hAnsi="Times New Roman" w:cs="Times New Roman"/>
          <w:b w:val="0"/>
          <w:sz w:val="24"/>
          <w:szCs w:val="24"/>
        </w:rPr>
        <w:lastRenderedPageBreak/>
        <w:t>cualquier regulación hecha bajo la ley que perderá; y</w:t>
      </w:r>
    </w:p>
    <w:p w:rsidR="00A87D8A" w:rsidRPr="00A87D8A" w:rsidRDefault="00A87D8A" w:rsidP="00A87D8A">
      <w:pPr>
        <w:pStyle w:val="BodyText"/>
        <w:numPr>
          <w:ilvl w:val="0"/>
          <w:numId w:val="1"/>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iii. hemos obtenido el consentimiento por escrito del cliente después de que el cliente</w:t>
      </w:r>
      <w:r>
        <w:rPr>
          <w:rFonts w:ascii="Times New Roman" w:hAnsi="Times New Roman" w:cs="Times New Roman"/>
          <w:b w:val="0"/>
          <w:sz w:val="24"/>
          <w:szCs w:val="24"/>
        </w:rPr>
        <w:t xml:space="preserve"> </w:t>
      </w:r>
      <w:r w:rsidRPr="00A87D8A">
        <w:rPr>
          <w:rFonts w:ascii="Times New Roman" w:hAnsi="Times New Roman" w:cs="Times New Roman"/>
          <w:b w:val="0"/>
          <w:sz w:val="24"/>
          <w:szCs w:val="24"/>
        </w:rPr>
        <w:t>haya</w:t>
      </w:r>
      <w:r>
        <w:rPr>
          <w:rFonts w:ascii="Times New Roman" w:hAnsi="Times New Roman" w:cs="Times New Roman"/>
          <w:b w:val="0"/>
          <w:sz w:val="24"/>
          <w:szCs w:val="24"/>
        </w:rPr>
        <w:t xml:space="preserve"> </w:t>
      </w:r>
      <w:r w:rsidRPr="00A87D8A">
        <w:rPr>
          <w:rFonts w:ascii="Times New Roman" w:hAnsi="Times New Roman" w:cs="Times New Roman"/>
          <w:b w:val="0"/>
          <w:sz w:val="24"/>
          <w:szCs w:val="24"/>
        </w:rPr>
        <w:t>tenido una oportunidad adecuada de considerar esa advertencia.</w:t>
      </w:r>
    </w:p>
    <w:p w:rsidR="00A87D8A" w:rsidRPr="00A87D8A" w:rsidRDefault="00A87D8A" w:rsidP="00A87D8A">
      <w:pPr>
        <w:pStyle w:val="BodyText"/>
        <w:spacing w:line="360" w:lineRule="auto"/>
        <w:jc w:val="both"/>
        <w:rPr>
          <w:rFonts w:ascii="Times New Roman" w:hAnsi="Times New Roman" w:cs="Times New Roman"/>
          <w:b w:val="0"/>
          <w:sz w:val="24"/>
          <w:szCs w:val="24"/>
        </w:rPr>
      </w:pPr>
    </w:p>
    <w:p w:rsidR="00A87D8A" w:rsidRPr="00A87D8A" w:rsidRDefault="00A87D8A" w:rsidP="00A87D8A">
      <w:pPr>
        <w:pStyle w:val="BodyText"/>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Podemos clasificar a un cliente que de otra manera sería un Cliente Profesional, excepto</w:t>
      </w:r>
    </w:p>
    <w:p w:rsidR="00A87D8A" w:rsidRDefault="00A87D8A" w:rsidP="00A87D8A">
      <w:pPr>
        <w:pStyle w:val="BodyText"/>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 xml:space="preserve">cuando alcanza dicha clasificación por operación del inciso (2), como una contraparte del mercado cuando </w:t>
      </w:r>
    </w:p>
    <w:p w:rsidR="00A87D8A" w:rsidRDefault="00A87D8A" w:rsidP="00A87D8A">
      <w:pPr>
        <w:pStyle w:val="BodyText"/>
        <w:numPr>
          <w:ilvl w:val="0"/>
          <w:numId w:val="2"/>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a) el cliente cae dentro de las categorías (a), (b) o (c) de la definición de cliente profesional y no</w:t>
      </w:r>
      <w:r>
        <w:rPr>
          <w:rFonts w:ascii="Times New Roman" w:hAnsi="Times New Roman" w:cs="Times New Roman"/>
          <w:b w:val="0"/>
          <w:sz w:val="24"/>
          <w:szCs w:val="24"/>
        </w:rPr>
        <w:t xml:space="preserve"> </w:t>
      </w:r>
      <w:r w:rsidRPr="00A87D8A">
        <w:rPr>
          <w:rFonts w:ascii="Times New Roman" w:hAnsi="Times New Roman" w:cs="Times New Roman"/>
          <w:b w:val="0"/>
          <w:sz w:val="24"/>
          <w:szCs w:val="24"/>
        </w:rPr>
        <w:t>está actuando para un cliente subyacente;</w:t>
      </w:r>
    </w:p>
    <w:p w:rsidR="00A87D8A" w:rsidRDefault="00A87D8A" w:rsidP="00A87D8A">
      <w:pPr>
        <w:pStyle w:val="BodyText"/>
        <w:numPr>
          <w:ilvl w:val="0"/>
          <w:numId w:val="2"/>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b) el cliente es una compañía o sociedad que cae dentro de la categoría (d) de la definición de cliente profesional y tiene un patrimonio neto de $12,000,000 o, cuando es una compañía, una</w:t>
      </w:r>
      <w:r>
        <w:rPr>
          <w:rFonts w:ascii="Times New Roman" w:hAnsi="Times New Roman" w:cs="Times New Roman"/>
          <w:b w:val="0"/>
          <w:sz w:val="24"/>
          <w:szCs w:val="24"/>
        </w:rPr>
        <w:t xml:space="preserve"> </w:t>
      </w:r>
      <w:r w:rsidRPr="00A87D8A">
        <w:rPr>
          <w:rFonts w:ascii="Times New Roman" w:hAnsi="Times New Roman" w:cs="Times New Roman"/>
          <w:b w:val="0"/>
          <w:sz w:val="24"/>
          <w:szCs w:val="24"/>
        </w:rPr>
        <w:t>facturación neta de $22,000,000, o el equivalente en cualquier otra moneda; y</w:t>
      </w:r>
      <w:r>
        <w:rPr>
          <w:rFonts w:ascii="Times New Roman" w:hAnsi="Times New Roman" w:cs="Times New Roman"/>
          <w:b w:val="0"/>
          <w:sz w:val="24"/>
          <w:szCs w:val="24"/>
        </w:rPr>
        <w:t xml:space="preserve"> </w:t>
      </w:r>
    </w:p>
    <w:p w:rsidR="00A87D8A" w:rsidRPr="00A87D8A" w:rsidRDefault="00A87D8A" w:rsidP="00A87D8A">
      <w:pPr>
        <w:pStyle w:val="BodyText"/>
        <w:numPr>
          <w:ilvl w:val="0"/>
          <w:numId w:val="2"/>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c) antes de iniciar un negocio de inversión en valores con el cliente en una base de contraparte de mercado, estamos obligados a informar al cliente por escrito sobre las protecciones bajo la ley de Mauricio o cualquier regulación hecha en virtud de la misma que el cliente perderá</w:t>
      </w:r>
      <w:r>
        <w:rPr>
          <w:rFonts w:ascii="Times New Roman" w:hAnsi="Times New Roman" w:cs="Times New Roman"/>
          <w:b w:val="0"/>
          <w:sz w:val="24"/>
          <w:szCs w:val="24"/>
        </w:rPr>
        <w:t xml:space="preserve"> </w:t>
      </w:r>
      <w:r w:rsidRPr="00A87D8A">
        <w:rPr>
          <w:rFonts w:ascii="Times New Roman" w:hAnsi="Times New Roman" w:cs="Times New Roman"/>
          <w:b w:val="0"/>
          <w:sz w:val="24"/>
          <w:szCs w:val="24"/>
        </w:rPr>
        <w:t>como resultado, y el cliente no se opone a ser clasificado como una contraparte de mercado.</w:t>
      </w:r>
    </w:p>
    <w:p w:rsidR="00A87D8A" w:rsidRPr="00A87D8A" w:rsidRDefault="00A87D8A" w:rsidP="00A87D8A">
      <w:pPr>
        <w:pStyle w:val="BodyText"/>
        <w:spacing w:line="360" w:lineRule="auto"/>
        <w:jc w:val="both"/>
        <w:rPr>
          <w:rFonts w:ascii="Times New Roman" w:hAnsi="Times New Roman" w:cs="Times New Roman"/>
          <w:b w:val="0"/>
          <w:sz w:val="24"/>
          <w:szCs w:val="24"/>
        </w:rPr>
      </w:pPr>
    </w:p>
    <w:p w:rsidR="00A87D8A" w:rsidRPr="00A87D8A" w:rsidRDefault="00A87D8A" w:rsidP="00A87D8A">
      <w:pPr>
        <w:pStyle w:val="BodyText"/>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Cuando hayamos clasificado a un cliente como un cliente p</w:t>
      </w:r>
      <w:r>
        <w:rPr>
          <w:rFonts w:ascii="Times New Roman" w:hAnsi="Times New Roman" w:cs="Times New Roman"/>
          <w:b w:val="0"/>
          <w:sz w:val="24"/>
          <w:szCs w:val="24"/>
        </w:rPr>
        <w:t xml:space="preserve">rofesional o una contraparte de </w:t>
      </w:r>
      <w:r w:rsidRPr="00A87D8A">
        <w:rPr>
          <w:rFonts w:ascii="Times New Roman" w:hAnsi="Times New Roman" w:cs="Times New Roman"/>
          <w:b w:val="0"/>
          <w:sz w:val="24"/>
          <w:szCs w:val="24"/>
        </w:rPr>
        <w:t>mercado según las mejores prácticas, revisaremos dichas clasificaciones al menos una vez al año, para asegurarnos de que las clasificaciones sigan siendo apropiadas.</w:t>
      </w:r>
    </w:p>
    <w:p w:rsidR="00A87D8A" w:rsidRPr="00A87D8A" w:rsidRDefault="00A87D8A" w:rsidP="00A87D8A">
      <w:pPr>
        <w:pStyle w:val="BodyText"/>
        <w:spacing w:line="360" w:lineRule="auto"/>
        <w:jc w:val="both"/>
        <w:rPr>
          <w:rFonts w:ascii="Times New Roman" w:hAnsi="Times New Roman" w:cs="Times New Roman"/>
          <w:b w:val="0"/>
          <w:sz w:val="24"/>
          <w:szCs w:val="24"/>
        </w:rPr>
      </w:pPr>
    </w:p>
    <w:p w:rsidR="00A87D8A" w:rsidRDefault="00A87D8A" w:rsidP="00A87D8A">
      <w:pPr>
        <w:pStyle w:val="BodyText"/>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Protecciones a las que renuncian los clientes profesionales</w:t>
      </w:r>
      <w:r w:rsidR="00A10867">
        <w:rPr>
          <w:rFonts w:ascii="Times New Roman" w:hAnsi="Times New Roman" w:cs="Times New Roman"/>
          <w:b w:val="0"/>
          <w:sz w:val="24"/>
          <w:szCs w:val="24"/>
        </w:rPr>
        <w:t xml:space="preserve">: </w:t>
      </w:r>
    </w:p>
    <w:p w:rsidR="00A10867" w:rsidRPr="00A87D8A" w:rsidRDefault="00A10867" w:rsidP="00A87D8A">
      <w:pPr>
        <w:pStyle w:val="BodyText"/>
        <w:spacing w:line="360" w:lineRule="auto"/>
        <w:jc w:val="both"/>
        <w:rPr>
          <w:rFonts w:ascii="Times New Roman" w:hAnsi="Times New Roman" w:cs="Times New Roman"/>
          <w:b w:val="0"/>
          <w:sz w:val="24"/>
          <w:szCs w:val="24"/>
        </w:rPr>
      </w:pPr>
    </w:p>
    <w:p w:rsidR="00A87D8A" w:rsidRPr="00A10867" w:rsidRDefault="00A87D8A" w:rsidP="00A10867">
      <w:pPr>
        <w:pStyle w:val="BodyText"/>
        <w:numPr>
          <w:ilvl w:val="0"/>
          <w:numId w:val="3"/>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Advertencias de riesgo: no estaremos obligados a restringir su cuenta con advertencias de</w:t>
      </w:r>
      <w:r w:rsidR="00A10867">
        <w:rPr>
          <w:rFonts w:ascii="Times New Roman" w:hAnsi="Times New Roman" w:cs="Times New Roman"/>
          <w:b w:val="0"/>
          <w:sz w:val="24"/>
          <w:szCs w:val="24"/>
        </w:rPr>
        <w:t xml:space="preserve"> </w:t>
      </w:r>
      <w:r w:rsidRPr="00A10867">
        <w:rPr>
          <w:rFonts w:ascii="Times New Roman" w:hAnsi="Times New Roman" w:cs="Times New Roman"/>
          <w:b w:val="0"/>
          <w:sz w:val="24"/>
          <w:szCs w:val="24"/>
        </w:rPr>
        <w:t>riesgo estandarizadas y reglas que protejan a los clientes privados.</w:t>
      </w:r>
    </w:p>
    <w:p w:rsidR="00A87D8A" w:rsidRPr="00A10867" w:rsidRDefault="00A87D8A" w:rsidP="00A10867">
      <w:pPr>
        <w:pStyle w:val="BodyText"/>
        <w:numPr>
          <w:ilvl w:val="0"/>
          <w:numId w:val="3"/>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Comunicaciones: cuando nos comunicamos con usted, podemos asumir que su nivel de experiencia es suficiente para usar un lenguaje que es más complejo que con los clientes</w:t>
      </w:r>
      <w:r w:rsidR="00A10867">
        <w:rPr>
          <w:rFonts w:ascii="Times New Roman" w:hAnsi="Times New Roman" w:cs="Times New Roman"/>
          <w:b w:val="0"/>
          <w:sz w:val="24"/>
          <w:szCs w:val="24"/>
        </w:rPr>
        <w:t xml:space="preserve"> </w:t>
      </w:r>
      <w:r w:rsidRPr="00A10867">
        <w:rPr>
          <w:rFonts w:ascii="Times New Roman" w:hAnsi="Times New Roman" w:cs="Times New Roman"/>
          <w:b w:val="0"/>
          <w:sz w:val="24"/>
          <w:szCs w:val="24"/>
        </w:rPr>
        <w:t>privados.</w:t>
      </w:r>
    </w:p>
    <w:p w:rsidR="00A87D8A" w:rsidRPr="00A10867" w:rsidRDefault="00A87D8A" w:rsidP="00A10867">
      <w:pPr>
        <w:pStyle w:val="BodyText"/>
        <w:numPr>
          <w:ilvl w:val="0"/>
          <w:numId w:val="3"/>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 xml:space="preserve">Experiencia: podemos asumir su nivel de experiencia al determinar si nuestros productos </w:t>
      </w:r>
      <w:r w:rsidRPr="00A87D8A">
        <w:rPr>
          <w:rFonts w:ascii="Times New Roman" w:hAnsi="Times New Roman" w:cs="Times New Roman"/>
          <w:b w:val="0"/>
          <w:sz w:val="24"/>
          <w:szCs w:val="24"/>
        </w:rPr>
        <w:lastRenderedPageBreak/>
        <w:t>y</w:t>
      </w:r>
      <w:r w:rsidR="00A10867">
        <w:rPr>
          <w:rFonts w:ascii="Times New Roman" w:hAnsi="Times New Roman" w:cs="Times New Roman"/>
          <w:b w:val="0"/>
          <w:sz w:val="24"/>
          <w:szCs w:val="24"/>
        </w:rPr>
        <w:t xml:space="preserve"> </w:t>
      </w:r>
      <w:r w:rsidRPr="00A10867">
        <w:rPr>
          <w:rFonts w:ascii="Times New Roman" w:hAnsi="Times New Roman" w:cs="Times New Roman"/>
          <w:b w:val="0"/>
          <w:sz w:val="24"/>
          <w:szCs w:val="24"/>
        </w:rPr>
        <w:t>servicios son adecuados para usted.</w:t>
      </w:r>
    </w:p>
    <w:p w:rsidR="00A87D8A" w:rsidRPr="00A10867" w:rsidRDefault="00A87D8A" w:rsidP="00A10867">
      <w:pPr>
        <w:pStyle w:val="BodyText"/>
        <w:numPr>
          <w:ilvl w:val="0"/>
          <w:numId w:val="3"/>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Mejor ejecución: tenemos un deber con usted al ejecutar sus órdenes. Como Cliente Profesional, podemos considerar otros factores al procesar transacciones, como la velocidad y la probabilidad de ejecución. En el caso de los clientes priv</w:t>
      </w:r>
      <w:r w:rsidR="00A10867">
        <w:rPr>
          <w:rFonts w:ascii="Times New Roman" w:hAnsi="Times New Roman" w:cs="Times New Roman"/>
          <w:b w:val="0"/>
          <w:sz w:val="24"/>
          <w:szCs w:val="24"/>
        </w:rPr>
        <w:t xml:space="preserve">ados, debemos priorizar el costo </w:t>
      </w:r>
      <w:r w:rsidRPr="00A10867">
        <w:rPr>
          <w:rFonts w:ascii="Times New Roman" w:hAnsi="Times New Roman" w:cs="Times New Roman"/>
          <w:b w:val="0"/>
          <w:sz w:val="24"/>
          <w:szCs w:val="24"/>
        </w:rPr>
        <w:t>total de la transacción.</w:t>
      </w:r>
    </w:p>
    <w:p w:rsidR="00A87D8A" w:rsidRPr="00A10867" w:rsidRDefault="00A87D8A" w:rsidP="00A10867">
      <w:pPr>
        <w:pStyle w:val="BodyText"/>
        <w:numPr>
          <w:ilvl w:val="0"/>
          <w:numId w:val="3"/>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Sin restricciones de apalancamiento: puede estar expuesto a un mayor apalancamiento que</w:t>
      </w:r>
      <w:r w:rsidR="00A10867">
        <w:rPr>
          <w:rFonts w:ascii="Times New Roman" w:hAnsi="Times New Roman" w:cs="Times New Roman"/>
          <w:b w:val="0"/>
          <w:sz w:val="24"/>
          <w:szCs w:val="24"/>
        </w:rPr>
        <w:t xml:space="preserve"> </w:t>
      </w:r>
      <w:r w:rsidRPr="00A10867">
        <w:rPr>
          <w:rFonts w:ascii="Times New Roman" w:hAnsi="Times New Roman" w:cs="Times New Roman"/>
          <w:b w:val="0"/>
          <w:sz w:val="24"/>
          <w:szCs w:val="24"/>
        </w:rPr>
        <w:t>puede amplificar sus pérdidas.</w:t>
      </w:r>
    </w:p>
    <w:p w:rsidR="00A87D8A" w:rsidRPr="00A87D8A" w:rsidRDefault="00A87D8A" w:rsidP="00A10867">
      <w:pPr>
        <w:pStyle w:val="BodyText"/>
        <w:numPr>
          <w:ilvl w:val="0"/>
          <w:numId w:val="3"/>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Derechos de protección</w:t>
      </w:r>
    </w:p>
    <w:p w:rsidR="00A87D8A" w:rsidRPr="00A87D8A" w:rsidRDefault="00A87D8A" w:rsidP="00A87D8A">
      <w:pPr>
        <w:pStyle w:val="BodyText"/>
        <w:spacing w:line="360" w:lineRule="auto"/>
        <w:jc w:val="both"/>
        <w:rPr>
          <w:rFonts w:ascii="Times New Roman" w:hAnsi="Times New Roman" w:cs="Times New Roman"/>
          <w:b w:val="0"/>
          <w:sz w:val="24"/>
          <w:szCs w:val="24"/>
        </w:rPr>
      </w:pPr>
    </w:p>
    <w:p w:rsidR="00A87D8A" w:rsidRPr="00A87D8A" w:rsidRDefault="00A87D8A" w:rsidP="00A87D8A">
      <w:pPr>
        <w:pStyle w:val="BodyText"/>
        <w:spacing w:line="360" w:lineRule="auto"/>
        <w:jc w:val="both"/>
        <w:rPr>
          <w:rFonts w:ascii="Times New Roman" w:hAnsi="Times New Roman" w:cs="Times New Roman"/>
          <w:sz w:val="24"/>
          <w:szCs w:val="24"/>
        </w:rPr>
      </w:pPr>
      <w:r w:rsidRPr="00A87D8A">
        <w:rPr>
          <w:rFonts w:ascii="Times New Roman" w:hAnsi="Times New Roman" w:cs="Times New Roman"/>
          <w:sz w:val="24"/>
          <w:szCs w:val="24"/>
        </w:rPr>
        <w:t>Clientes privados</w:t>
      </w:r>
    </w:p>
    <w:p w:rsidR="00A87D8A" w:rsidRPr="00A87D8A" w:rsidRDefault="00A87D8A" w:rsidP="00A87D8A">
      <w:pPr>
        <w:pStyle w:val="BodyText"/>
        <w:spacing w:line="360" w:lineRule="auto"/>
        <w:jc w:val="both"/>
        <w:rPr>
          <w:rFonts w:ascii="Times New Roman" w:hAnsi="Times New Roman" w:cs="Times New Roman"/>
          <w:b w:val="0"/>
          <w:sz w:val="24"/>
          <w:szCs w:val="24"/>
        </w:rPr>
      </w:pPr>
    </w:p>
    <w:p w:rsidR="00A87D8A" w:rsidRPr="00A87D8A" w:rsidRDefault="00A87D8A" w:rsidP="00A87D8A">
      <w:pPr>
        <w:pStyle w:val="BodyText"/>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Cuando la Compañía trata a un Cliente como Cliente Privado, este tiene derecho a más protecciones bajo la Ley que si fuera tratado como Cliente Profesional. En resumen, las protecciones a las que tienen derecho los Clientes Privados son la</w:t>
      </w:r>
      <w:r w:rsidR="00A10867">
        <w:rPr>
          <w:rFonts w:ascii="Times New Roman" w:hAnsi="Times New Roman" w:cs="Times New Roman"/>
          <w:b w:val="0"/>
          <w:sz w:val="24"/>
          <w:szCs w:val="24"/>
        </w:rPr>
        <w:t xml:space="preserve">s siguientes (la lista puede no </w:t>
      </w:r>
      <w:r w:rsidRPr="00A87D8A">
        <w:rPr>
          <w:rFonts w:ascii="Times New Roman" w:hAnsi="Times New Roman" w:cs="Times New Roman"/>
          <w:b w:val="0"/>
          <w:sz w:val="24"/>
          <w:szCs w:val="24"/>
        </w:rPr>
        <w:t>ser exhaustiva):</w:t>
      </w:r>
    </w:p>
    <w:p w:rsidR="00A87D8A" w:rsidRPr="00A87D8A" w:rsidRDefault="00A87D8A" w:rsidP="00A87D8A">
      <w:pPr>
        <w:pStyle w:val="BodyText"/>
        <w:spacing w:line="360" w:lineRule="auto"/>
        <w:jc w:val="both"/>
        <w:rPr>
          <w:rFonts w:ascii="Times New Roman" w:hAnsi="Times New Roman" w:cs="Times New Roman"/>
          <w:b w:val="0"/>
          <w:sz w:val="24"/>
          <w:szCs w:val="24"/>
        </w:rPr>
      </w:pPr>
    </w:p>
    <w:p w:rsidR="00A87D8A" w:rsidRPr="00A87D8A" w:rsidRDefault="00A87D8A" w:rsidP="00A10867">
      <w:pPr>
        <w:pStyle w:val="BodyText"/>
        <w:numPr>
          <w:ilvl w:val="0"/>
          <w:numId w:val="6"/>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 xml:space="preserve">A un Cliente Privado se le proporcionará más información sobre la Compañía, sus servicios, sus instrumentos financieros y su desempeño, la naturaleza y </w:t>
      </w:r>
      <w:r w:rsidR="00A10867">
        <w:rPr>
          <w:rFonts w:ascii="Times New Roman" w:hAnsi="Times New Roman" w:cs="Times New Roman"/>
          <w:b w:val="0"/>
          <w:sz w:val="24"/>
          <w:szCs w:val="24"/>
        </w:rPr>
        <w:t xml:space="preserve">los riesgos de los instrumentos </w:t>
      </w:r>
      <w:r w:rsidRPr="00A87D8A">
        <w:rPr>
          <w:rFonts w:ascii="Times New Roman" w:hAnsi="Times New Roman" w:cs="Times New Roman"/>
          <w:b w:val="0"/>
          <w:sz w:val="24"/>
          <w:szCs w:val="24"/>
        </w:rPr>
        <w:t>financieros, sus costos, comisiones, tarifas y cargos.</w:t>
      </w:r>
    </w:p>
    <w:p w:rsidR="00A87D8A" w:rsidRPr="00A87D8A" w:rsidRDefault="00A87D8A" w:rsidP="00A10867">
      <w:pPr>
        <w:pStyle w:val="BodyText"/>
        <w:numPr>
          <w:ilvl w:val="0"/>
          <w:numId w:val="6"/>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 xml:space="preserve">Cuando la Compañía preste servicios de Recepción y Transmisión de órdenes y/o Ejecución de órdenes de Clientes, la Compañía solicitará al Cliente Privado que proporcione información sobre sus conocimientos y experiencia en el campo de inversión relevante para el tipo específico de producto o servicio ofrecido o demandado, de modo que la Compañía pueda evaluar si el servicio o producto de inversión previsto es apropiado para el Cliente. En caso de que la Compañía considere, sobre la base de la información recibida, que el producto o servicio no es apropiado para un Cliente Privado, advertirá al Cliente en consecuencia. La Compañía no está obligada a evaluar la idoneidad en ciertos casos especificados por la Ley (por ejemplo, pero no limitado a, la situación en la que, sobre la base </w:t>
      </w:r>
      <w:r w:rsidR="00A10867">
        <w:rPr>
          <w:rFonts w:ascii="Times New Roman" w:hAnsi="Times New Roman" w:cs="Times New Roman"/>
          <w:b w:val="0"/>
          <w:sz w:val="24"/>
          <w:szCs w:val="24"/>
        </w:rPr>
        <w:t xml:space="preserve">de una ejecución únicamente, el </w:t>
      </w:r>
      <w:r w:rsidRPr="00A87D8A">
        <w:rPr>
          <w:rFonts w:ascii="Times New Roman" w:hAnsi="Times New Roman" w:cs="Times New Roman"/>
          <w:b w:val="0"/>
          <w:sz w:val="24"/>
          <w:szCs w:val="24"/>
        </w:rPr>
        <w:t>instrumento financiero en cuestión no es complejo).</w:t>
      </w:r>
    </w:p>
    <w:p w:rsidR="00A87D8A" w:rsidRPr="00A87D8A" w:rsidRDefault="00A87D8A" w:rsidP="00A10867">
      <w:pPr>
        <w:pStyle w:val="BodyText"/>
        <w:numPr>
          <w:ilvl w:val="0"/>
          <w:numId w:val="6"/>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 xml:space="preserve">Por otra parte, la Compañía tendrá derecho a asumir que un Cliente Profesional tiene la </w:t>
      </w:r>
      <w:r w:rsidRPr="00A87D8A">
        <w:rPr>
          <w:rFonts w:ascii="Times New Roman" w:hAnsi="Times New Roman" w:cs="Times New Roman"/>
          <w:b w:val="0"/>
          <w:sz w:val="24"/>
          <w:szCs w:val="24"/>
        </w:rPr>
        <w:lastRenderedPageBreak/>
        <w:t>experiencia y los conocimientos necesarios para comprender los riesgos que implican en relación con aquellos servicios o transacciones de inv</w:t>
      </w:r>
      <w:r w:rsidR="00A10867">
        <w:rPr>
          <w:rFonts w:ascii="Times New Roman" w:hAnsi="Times New Roman" w:cs="Times New Roman"/>
          <w:b w:val="0"/>
          <w:sz w:val="24"/>
          <w:szCs w:val="24"/>
        </w:rPr>
        <w:t xml:space="preserve">ersión particulares, o tipos de </w:t>
      </w:r>
      <w:r w:rsidRPr="00A87D8A">
        <w:rPr>
          <w:rFonts w:ascii="Times New Roman" w:hAnsi="Times New Roman" w:cs="Times New Roman"/>
          <w:b w:val="0"/>
          <w:sz w:val="24"/>
          <w:szCs w:val="24"/>
        </w:rPr>
        <w:t>transacciones o productos, para los que el Cliente está clasificado como Cliente Profesional. En</w:t>
      </w:r>
      <w:r w:rsidR="00A10867">
        <w:rPr>
          <w:rFonts w:ascii="Times New Roman" w:hAnsi="Times New Roman" w:cs="Times New Roman"/>
          <w:b w:val="0"/>
          <w:sz w:val="24"/>
          <w:szCs w:val="24"/>
        </w:rPr>
        <w:t xml:space="preserve"> </w:t>
      </w:r>
      <w:r w:rsidRPr="00A87D8A">
        <w:rPr>
          <w:rFonts w:ascii="Times New Roman" w:hAnsi="Times New Roman" w:cs="Times New Roman"/>
          <w:b w:val="0"/>
          <w:sz w:val="24"/>
          <w:szCs w:val="24"/>
        </w:rPr>
        <w:t>consecuencia, y a diferencia de lo que ocurre con un Cliente Privado, la Compañía no debería necesitar, en general, obtener información adicional del Cliente a los efectos de la evaluación de la idoneidad para aquellos productos y servicios para los que ha</w:t>
      </w:r>
      <w:r w:rsidR="00A10867">
        <w:rPr>
          <w:rFonts w:ascii="Times New Roman" w:hAnsi="Times New Roman" w:cs="Times New Roman"/>
          <w:b w:val="0"/>
          <w:sz w:val="24"/>
          <w:szCs w:val="24"/>
        </w:rPr>
        <w:t xml:space="preserve"> sido clasificado como </w:t>
      </w:r>
      <w:r w:rsidRPr="00A87D8A">
        <w:rPr>
          <w:rFonts w:ascii="Times New Roman" w:hAnsi="Times New Roman" w:cs="Times New Roman"/>
          <w:b w:val="0"/>
          <w:sz w:val="24"/>
          <w:szCs w:val="24"/>
        </w:rPr>
        <w:t>Cliente Profesional.</w:t>
      </w:r>
    </w:p>
    <w:p w:rsidR="00A87D8A" w:rsidRPr="00A87D8A" w:rsidRDefault="00A87D8A" w:rsidP="00A10867">
      <w:pPr>
        <w:pStyle w:val="BodyText"/>
        <w:numPr>
          <w:ilvl w:val="0"/>
          <w:numId w:val="6"/>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Al ejecutar las órdenes de un Cliente, la Compañía debe tomar todas las medidas necesarias para lograr lo que se denomina la “mejor ejecución” de las</w:t>
      </w:r>
      <w:r w:rsidR="00A10867">
        <w:rPr>
          <w:rFonts w:ascii="Times New Roman" w:hAnsi="Times New Roman" w:cs="Times New Roman"/>
          <w:b w:val="0"/>
          <w:sz w:val="24"/>
          <w:szCs w:val="24"/>
        </w:rPr>
        <w:t xml:space="preserve"> órdenes del Cliente, es decir, </w:t>
      </w:r>
      <w:r w:rsidRPr="00A87D8A">
        <w:rPr>
          <w:rFonts w:ascii="Times New Roman" w:hAnsi="Times New Roman" w:cs="Times New Roman"/>
          <w:b w:val="0"/>
          <w:sz w:val="24"/>
          <w:szCs w:val="24"/>
        </w:rPr>
        <w:t>obtener el mejor resultado posible para sus Clientes.</w:t>
      </w:r>
    </w:p>
    <w:p w:rsidR="00A87D8A" w:rsidRPr="00A87D8A" w:rsidRDefault="00A87D8A" w:rsidP="00A10867">
      <w:pPr>
        <w:pStyle w:val="BodyText"/>
        <w:numPr>
          <w:ilvl w:val="0"/>
          <w:numId w:val="6"/>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Cuando la Compañía ejecute una orden de un Cliente Privado, el mejor resultado posible se determinará en términos de la contraprestación total, que representa el precio del instrumento financiero y los costos relacionados con la ejecución, que incluirán todos los gastos incurridos por el Cliente que estén directamente relacionados con la ejecución de la orden, incluidas las tarifas del centro de ejecución, las tarifas de compensación y liqu</w:t>
      </w:r>
      <w:r w:rsidR="00A10867">
        <w:rPr>
          <w:rFonts w:ascii="Times New Roman" w:hAnsi="Times New Roman" w:cs="Times New Roman"/>
          <w:b w:val="0"/>
          <w:sz w:val="24"/>
          <w:szCs w:val="24"/>
        </w:rPr>
        <w:t xml:space="preserve">idación y cualquier otra tarifa </w:t>
      </w:r>
      <w:r w:rsidRPr="00A87D8A">
        <w:rPr>
          <w:rFonts w:ascii="Times New Roman" w:hAnsi="Times New Roman" w:cs="Times New Roman"/>
          <w:b w:val="0"/>
          <w:sz w:val="24"/>
          <w:szCs w:val="24"/>
        </w:rPr>
        <w:t>pagada a terceros involucrados en la ejecución de la orden.</w:t>
      </w:r>
    </w:p>
    <w:p w:rsidR="00A10867" w:rsidRDefault="00A10867" w:rsidP="00A87D8A">
      <w:pPr>
        <w:pStyle w:val="BodyText"/>
        <w:spacing w:line="360" w:lineRule="auto"/>
        <w:jc w:val="both"/>
        <w:rPr>
          <w:rFonts w:ascii="Times New Roman" w:hAnsi="Times New Roman" w:cs="Times New Roman"/>
          <w:b w:val="0"/>
          <w:sz w:val="24"/>
          <w:szCs w:val="24"/>
        </w:rPr>
      </w:pPr>
    </w:p>
    <w:p w:rsidR="00A87D8A" w:rsidRPr="00A87D8A" w:rsidRDefault="00A87D8A" w:rsidP="00A87D8A">
      <w:pPr>
        <w:pStyle w:val="BodyText"/>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La Compañía debe informar a los Clientes Privados de las dificultades materiales relevantes para la ejecución adecuada de sus órdenes tan pront</w:t>
      </w:r>
      <w:r w:rsidR="00A10867">
        <w:rPr>
          <w:rFonts w:ascii="Times New Roman" w:hAnsi="Times New Roman" w:cs="Times New Roman"/>
          <w:b w:val="0"/>
          <w:sz w:val="24"/>
          <w:szCs w:val="24"/>
        </w:rPr>
        <w:t xml:space="preserve">o como tenga conocimiento de la </w:t>
      </w:r>
      <w:r w:rsidRPr="00A87D8A">
        <w:rPr>
          <w:rFonts w:ascii="Times New Roman" w:hAnsi="Times New Roman" w:cs="Times New Roman"/>
          <w:b w:val="0"/>
          <w:sz w:val="24"/>
          <w:szCs w:val="24"/>
        </w:rPr>
        <w:t>dificultad.</w:t>
      </w:r>
    </w:p>
    <w:p w:rsidR="00A87D8A" w:rsidRPr="00A87D8A" w:rsidRDefault="00A87D8A" w:rsidP="00A87D8A">
      <w:pPr>
        <w:pStyle w:val="BodyText"/>
        <w:spacing w:line="360" w:lineRule="auto"/>
        <w:jc w:val="both"/>
        <w:rPr>
          <w:rFonts w:ascii="Times New Roman" w:hAnsi="Times New Roman" w:cs="Times New Roman"/>
          <w:b w:val="0"/>
          <w:sz w:val="24"/>
          <w:szCs w:val="24"/>
        </w:rPr>
      </w:pPr>
    </w:p>
    <w:p w:rsidR="00A87D8A" w:rsidRPr="00A87D8A" w:rsidRDefault="00A87D8A" w:rsidP="00A87D8A">
      <w:pPr>
        <w:pStyle w:val="BodyText"/>
        <w:spacing w:line="360" w:lineRule="auto"/>
        <w:jc w:val="both"/>
        <w:rPr>
          <w:rFonts w:ascii="Times New Roman" w:hAnsi="Times New Roman" w:cs="Times New Roman"/>
          <w:sz w:val="24"/>
          <w:szCs w:val="24"/>
        </w:rPr>
      </w:pPr>
      <w:r w:rsidRPr="00A87D8A">
        <w:rPr>
          <w:rFonts w:ascii="Times New Roman" w:hAnsi="Times New Roman" w:cs="Times New Roman"/>
          <w:sz w:val="24"/>
          <w:szCs w:val="24"/>
        </w:rPr>
        <w:t>Clientes profesionales</w:t>
      </w:r>
    </w:p>
    <w:p w:rsidR="00A87D8A" w:rsidRPr="00A87D8A" w:rsidRDefault="00A87D8A" w:rsidP="00A87D8A">
      <w:pPr>
        <w:pStyle w:val="BodyText"/>
        <w:spacing w:line="360" w:lineRule="auto"/>
        <w:jc w:val="both"/>
        <w:rPr>
          <w:rFonts w:ascii="Times New Roman" w:hAnsi="Times New Roman" w:cs="Times New Roman"/>
          <w:b w:val="0"/>
          <w:sz w:val="24"/>
          <w:szCs w:val="24"/>
        </w:rPr>
      </w:pPr>
    </w:p>
    <w:p w:rsidR="00A87D8A" w:rsidRPr="00A87D8A" w:rsidRDefault="00A87D8A" w:rsidP="00A87D8A">
      <w:pPr>
        <w:pStyle w:val="BodyText"/>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Cuando la Compañía trate al Cliente como un cliente profesional, el Cliente tendrá derecho a menos protecciones bajo la Ley de las que tendría derecho como</w:t>
      </w:r>
      <w:r w:rsidR="00A10867">
        <w:rPr>
          <w:rFonts w:ascii="Times New Roman" w:hAnsi="Times New Roman" w:cs="Times New Roman"/>
          <w:b w:val="0"/>
          <w:sz w:val="24"/>
          <w:szCs w:val="24"/>
        </w:rPr>
        <w:t xml:space="preserve"> Cliente privado o profesional. </w:t>
      </w:r>
      <w:r w:rsidRPr="00A87D8A">
        <w:rPr>
          <w:rFonts w:ascii="Times New Roman" w:hAnsi="Times New Roman" w:cs="Times New Roman"/>
          <w:b w:val="0"/>
          <w:sz w:val="24"/>
          <w:szCs w:val="24"/>
        </w:rPr>
        <w:t>En particular y además de lo mencionado en el párrafo anteri</w:t>
      </w:r>
      <w:r w:rsidR="00A10867">
        <w:rPr>
          <w:rFonts w:ascii="Times New Roman" w:hAnsi="Times New Roman" w:cs="Times New Roman"/>
          <w:b w:val="0"/>
          <w:sz w:val="24"/>
          <w:szCs w:val="24"/>
        </w:rPr>
        <w:t xml:space="preserve">or </w:t>
      </w:r>
      <w:r w:rsidRPr="00A87D8A">
        <w:rPr>
          <w:rFonts w:ascii="Times New Roman" w:hAnsi="Times New Roman" w:cs="Times New Roman"/>
          <w:b w:val="0"/>
          <w:sz w:val="24"/>
          <w:szCs w:val="24"/>
        </w:rPr>
        <w:t>(La lista puede no ser exhaustiva):</w:t>
      </w:r>
    </w:p>
    <w:p w:rsidR="00A87D8A" w:rsidRPr="00A87D8A" w:rsidRDefault="00A87D8A" w:rsidP="00A10867">
      <w:pPr>
        <w:pStyle w:val="BodyText"/>
        <w:numPr>
          <w:ilvl w:val="0"/>
          <w:numId w:val="8"/>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La Compañía no está obligada a proporcionar al Cliente la mej</w:t>
      </w:r>
      <w:r>
        <w:rPr>
          <w:rFonts w:ascii="Times New Roman" w:hAnsi="Times New Roman" w:cs="Times New Roman"/>
          <w:b w:val="0"/>
          <w:sz w:val="24"/>
          <w:szCs w:val="24"/>
        </w:rPr>
        <w:t xml:space="preserve">or ejecución en la ejecución de </w:t>
      </w:r>
      <w:r w:rsidRPr="00A87D8A">
        <w:rPr>
          <w:rFonts w:ascii="Times New Roman" w:hAnsi="Times New Roman" w:cs="Times New Roman"/>
          <w:b w:val="0"/>
          <w:sz w:val="24"/>
          <w:szCs w:val="24"/>
        </w:rPr>
        <w:t>las órdenes del Cliente.</w:t>
      </w:r>
    </w:p>
    <w:p w:rsidR="00A87D8A" w:rsidRPr="00A87D8A" w:rsidRDefault="00A87D8A" w:rsidP="00A10867">
      <w:pPr>
        <w:pStyle w:val="BodyText"/>
        <w:numPr>
          <w:ilvl w:val="0"/>
          <w:numId w:val="8"/>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La Compañía no está obligada a revelar la información del</w:t>
      </w:r>
      <w:r>
        <w:rPr>
          <w:rFonts w:ascii="Times New Roman" w:hAnsi="Times New Roman" w:cs="Times New Roman"/>
          <w:b w:val="0"/>
          <w:sz w:val="24"/>
          <w:szCs w:val="24"/>
        </w:rPr>
        <w:t xml:space="preserve"> Cliente sobre los honorarios o </w:t>
      </w:r>
      <w:r w:rsidRPr="00A87D8A">
        <w:rPr>
          <w:rFonts w:ascii="Times New Roman" w:hAnsi="Times New Roman" w:cs="Times New Roman"/>
          <w:b w:val="0"/>
          <w:sz w:val="24"/>
          <w:szCs w:val="24"/>
        </w:rPr>
        <w:t>comisiones que paga o recibe;</w:t>
      </w:r>
    </w:p>
    <w:p w:rsidR="00A87D8A" w:rsidRPr="00A87D8A" w:rsidRDefault="00A87D8A" w:rsidP="00A10867">
      <w:pPr>
        <w:pStyle w:val="BodyText"/>
        <w:numPr>
          <w:ilvl w:val="0"/>
          <w:numId w:val="8"/>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 xml:space="preserve">La Compañía no está obligada a implementar procedimientos y acuerdos que permitan la </w:t>
      </w:r>
      <w:r w:rsidRPr="00A87D8A">
        <w:rPr>
          <w:rFonts w:ascii="Times New Roman" w:hAnsi="Times New Roman" w:cs="Times New Roman"/>
          <w:b w:val="0"/>
          <w:sz w:val="24"/>
          <w:szCs w:val="24"/>
        </w:rPr>
        <w:lastRenderedPageBreak/>
        <w:t>ejecución rápida, justa y expedita de las órdenes de sus Clientes</w:t>
      </w:r>
      <w:r>
        <w:rPr>
          <w:rFonts w:ascii="Times New Roman" w:hAnsi="Times New Roman" w:cs="Times New Roman"/>
          <w:b w:val="0"/>
          <w:sz w:val="24"/>
          <w:szCs w:val="24"/>
        </w:rPr>
        <w:t xml:space="preserve">, en relación con otras órdenes </w:t>
      </w:r>
      <w:r w:rsidRPr="00A87D8A">
        <w:rPr>
          <w:rFonts w:ascii="Times New Roman" w:hAnsi="Times New Roman" w:cs="Times New Roman"/>
          <w:b w:val="0"/>
          <w:sz w:val="24"/>
          <w:szCs w:val="24"/>
        </w:rPr>
        <w:t>de Clientes o sus intereses comerciales.</w:t>
      </w:r>
    </w:p>
    <w:p w:rsidR="00A87D8A" w:rsidRPr="00A10867" w:rsidRDefault="00A87D8A" w:rsidP="00A10867">
      <w:pPr>
        <w:pStyle w:val="BodyText"/>
        <w:numPr>
          <w:ilvl w:val="0"/>
          <w:numId w:val="8"/>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La Compañía no está obligada a evaluar la idoneidad de un producto o servicio que proporciona al Cliente, pero puede asumir que el Cliente tiene la experiencia para elegir el producto o servicio más apropiado para sí mismo y que tiene la capacidad de soportar</w:t>
      </w:r>
      <w:r w:rsidR="00A10867">
        <w:rPr>
          <w:rFonts w:ascii="Times New Roman" w:hAnsi="Times New Roman" w:cs="Times New Roman"/>
          <w:b w:val="0"/>
          <w:sz w:val="24"/>
          <w:szCs w:val="24"/>
        </w:rPr>
        <w:t xml:space="preserve"> </w:t>
      </w:r>
      <w:r w:rsidRPr="00A10867">
        <w:rPr>
          <w:rFonts w:ascii="Times New Roman" w:hAnsi="Times New Roman" w:cs="Times New Roman"/>
          <w:b w:val="0"/>
          <w:sz w:val="24"/>
          <w:szCs w:val="24"/>
        </w:rPr>
        <w:t>pérdidas.</w:t>
      </w:r>
    </w:p>
    <w:p w:rsidR="00A87D8A" w:rsidRPr="00A87D8A" w:rsidRDefault="00A87D8A" w:rsidP="00A10867">
      <w:pPr>
        <w:pStyle w:val="BodyText"/>
        <w:numPr>
          <w:ilvl w:val="0"/>
          <w:numId w:val="8"/>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 xml:space="preserve">La Compañía no está obligada a proporcionar al Cliente información sobre la Compañía, sus lugares de ejecución, los acuerdos a través de los cuales la </w:t>
      </w:r>
      <w:r>
        <w:rPr>
          <w:rFonts w:ascii="Times New Roman" w:hAnsi="Times New Roman" w:cs="Times New Roman"/>
          <w:b w:val="0"/>
          <w:sz w:val="24"/>
          <w:szCs w:val="24"/>
        </w:rPr>
        <w:t xml:space="preserve">Compañía será remunerada y otra </w:t>
      </w:r>
      <w:r w:rsidRPr="00A87D8A">
        <w:rPr>
          <w:rFonts w:ascii="Times New Roman" w:hAnsi="Times New Roman" w:cs="Times New Roman"/>
          <w:b w:val="0"/>
          <w:sz w:val="24"/>
          <w:szCs w:val="24"/>
        </w:rPr>
        <w:t>información relevante.</w:t>
      </w:r>
    </w:p>
    <w:p w:rsidR="00A87D8A" w:rsidRPr="00A87D8A" w:rsidRDefault="00A87D8A" w:rsidP="00A10867">
      <w:pPr>
        <w:pStyle w:val="BodyText"/>
        <w:numPr>
          <w:ilvl w:val="0"/>
          <w:numId w:val="8"/>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La Compañía no está obligada a garantizar que sus instrumen</w:t>
      </w:r>
      <w:r>
        <w:rPr>
          <w:rFonts w:ascii="Times New Roman" w:hAnsi="Times New Roman" w:cs="Times New Roman"/>
          <w:b w:val="0"/>
          <w:sz w:val="24"/>
          <w:szCs w:val="24"/>
        </w:rPr>
        <w:t xml:space="preserve">tos financieros estén diseñados </w:t>
      </w:r>
      <w:r w:rsidRPr="00A87D8A">
        <w:rPr>
          <w:rFonts w:ascii="Times New Roman" w:hAnsi="Times New Roman" w:cs="Times New Roman"/>
          <w:b w:val="0"/>
          <w:sz w:val="24"/>
          <w:szCs w:val="24"/>
        </w:rPr>
        <w:t>para satisfacer las necesidades de un mercado objetivo identificado de contrapartes elegibles.</w:t>
      </w:r>
    </w:p>
    <w:p w:rsidR="00A87D8A" w:rsidRPr="00A87D8A" w:rsidRDefault="00A87D8A" w:rsidP="00A10867">
      <w:pPr>
        <w:pStyle w:val="BodyText"/>
        <w:numPr>
          <w:ilvl w:val="0"/>
          <w:numId w:val="8"/>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La Compañía, al tratar con contrapartes elegibles, no está obligada a garantizar que no remunera a su personal de una manera que entre en conflicto con su deber de actuar en el mejor interés de sus clientes y que no acepta honorario</w:t>
      </w:r>
      <w:r>
        <w:rPr>
          <w:rFonts w:ascii="Times New Roman" w:hAnsi="Times New Roman" w:cs="Times New Roman"/>
          <w:b w:val="0"/>
          <w:sz w:val="24"/>
          <w:szCs w:val="24"/>
        </w:rPr>
        <w:t xml:space="preserve">s/comisiones en relación con la </w:t>
      </w:r>
      <w:r w:rsidRPr="00A87D8A">
        <w:rPr>
          <w:rFonts w:ascii="Times New Roman" w:hAnsi="Times New Roman" w:cs="Times New Roman"/>
          <w:b w:val="0"/>
          <w:sz w:val="24"/>
          <w:szCs w:val="24"/>
        </w:rPr>
        <w:t>prestación de servicios a los clientes.</w:t>
      </w:r>
    </w:p>
    <w:p w:rsidR="00A87D8A" w:rsidRPr="00A87D8A" w:rsidRDefault="00A87D8A" w:rsidP="00A10867">
      <w:pPr>
        <w:pStyle w:val="BodyText"/>
        <w:numPr>
          <w:ilvl w:val="0"/>
          <w:numId w:val="8"/>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La Compañía no está obligada a proporcionar al Cliente inf</w:t>
      </w:r>
      <w:r>
        <w:rPr>
          <w:rFonts w:ascii="Times New Roman" w:hAnsi="Times New Roman" w:cs="Times New Roman"/>
          <w:b w:val="0"/>
          <w:sz w:val="24"/>
          <w:szCs w:val="24"/>
        </w:rPr>
        <w:t xml:space="preserve">ormación sobre la Compañía, sus </w:t>
      </w:r>
      <w:r w:rsidRPr="00A87D8A">
        <w:rPr>
          <w:rFonts w:ascii="Times New Roman" w:hAnsi="Times New Roman" w:cs="Times New Roman"/>
          <w:b w:val="0"/>
          <w:sz w:val="24"/>
          <w:szCs w:val="24"/>
        </w:rPr>
        <w:t>servicios y los acuerdos a través de los cual</w:t>
      </w:r>
      <w:r>
        <w:rPr>
          <w:rFonts w:ascii="Times New Roman" w:hAnsi="Times New Roman" w:cs="Times New Roman"/>
          <w:b w:val="0"/>
          <w:sz w:val="24"/>
          <w:szCs w:val="24"/>
        </w:rPr>
        <w:t>es la Compañía será remunerada;</w:t>
      </w:r>
    </w:p>
    <w:p w:rsidR="00A87D8A" w:rsidRPr="00A87D8A" w:rsidRDefault="00A87D8A" w:rsidP="00A10867">
      <w:pPr>
        <w:pStyle w:val="BodyText"/>
        <w:numPr>
          <w:ilvl w:val="0"/>
          <w:numId w:val="8"/>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La Compañía no está obligada a proporcionar informes al Cl</w:t>
      </w:r>
      <w:r>
        <w:rPr>
          <w:rFonts w:ascii="Times New Roman" w:hAnsi="Times New Roman" w:cs="Times New Roman"/>
          <w:b w:val="0"/>
          <w:sz w:val="24"/>
          <w:szCs w:val="24"/>
        </w:rPr>
        <w:t xml:space="preserve">iente sobre la ejecución de sus </w:t>
      </w:r>
      <w:r w:rsidRPr="00A87D8A">
        <w:rPr>
          <w:rFonts w:ascii="Times New Roman" w:hAnsi="Times New Roman" w:cs="Times New Roman"/>
          <w:b w:val="0"/>
          <w:sz w:val="24"/>
          <w:szCs w:val="24"/>
        </w:rPr>
        <w:t>órdenes.</w:t>
      </w:r>
    </w:p>
    <w:p w:rsidR="00A87D8A" w:rsidRPr="00A10867" w:rsidRDefault="00A87D8A" w:rsidP="00A10867">
      <w:pPr>
        <w:pStyle w:val="BodyText"/>
        <w:numPr>
          <w:ilvl w:val="0"/>
          <w:numId w:val="8"/>
        </w:numPr>
        <w:spacing w:line="360" w:lineRule="auto"/>
        <w:jc w:val="both"/>
        <w:rPr>
          <w:rFonts w:ascii="Times New Roman" w:hAnsi="Times New Roman" w:cs="Times New Roman"/>
          <w:b w:val="0"/>
          <w:sz w:val="24"/>
          <w:szCs w:val="24"/>
        </w:rPr>
      </w:pPr>
      <w:r w:rsidRPr="00A87D8A">
        <w:rPr>
          <w:rFonts w:ascii="Times New Roman" w:hAnsi="Times New Roman" w:cs="Times New Roman"/>
          <w:b w:val="0"/>
          <w:sz w:val="24"/>
          <w:szCs w:val="24"/>
        </w:rPr>
        <w:t>La Compañía no está obligada a proporcionar al Cliente información sobre los riesgos de</w:t>
      </w:r>
      <w:r w:rsidR="00A10867">
        <w:rPr>
          <w:rFonts w:ascii="Times New Roman" w:hAnsi="Times New Roman" w:cs="Times New Roman"/>
          <w:b w:val="0"/>
          <w:sz w:val="24"/>
          <w:szCs w:val="24"/>
        </w:rPr>
        <w:t xml:space="preserve"> </w:t>
      </w:r>
      <w:r w:rsidRPr="00A10867">
        <w:rPr>
          <w:rFonts w:ascii="Times New Roman" w:hAnsi="Times New Roman" w:cs="Times New Roman"/>
          <w:b w:val="0"/>
          <w:sz w:val="24"/>
          <w:szCs w:val="24"/>
        </w:rPr>
        <w:t>los productos o servicios q</w:t>
      </w:r>
      <w:r w:rsidRPr="00A10867">
        <w:rPr>
          <w:rFonts w:ascii="Times New Roman" w:hAnsi="Times New Roman" w:cs="Times New Roman"/>
          <w:b w:val="0"/>
          <w:sz w:val="24"/>
          <w:szCs w:val="24"/>
        </w:rPr>
        <w:t xml:space="preserve">ue seleccione de la Compañía; </w:t>
      </w:r>
      <w:proofErr w:type="gramStart"/>
      <w:r w:rsidRPr="00A10867">
        <w:rPr>
          <w:rFonts w:ascii="Times New Roman" w:hAnsi="Times New Roman" w:cs="Times New Roman"/>
          <w:b w:val="0"/>
          <w:sz w:val="24"/>
          <w:szCs w:val="24"/>
        </w:rPr>
        <w:t>y</w:t>
      </w:r>
      <w:proofErr w:type="gramEnd"/>
      <w:r w:rsidRPr="00A10867">
        <w:rPr>
          <w:rFonts w:ascii="Times New Roman" w:hAnsi="Times New Roman" w:cs="Times New Roman"/>
          <w:b w:val="0"/>
          <w:sz w:val="24"/>
          <w:szCs w:val="24"/>
        </w:rPr>
        <w:t xml:space="preserve"> s</w:t>
      </w:r>
      <w:r w:rsidRPr="00A10867">
        <w:rPr>
          <w:rFonts w:ascii="Times New Roman" w:hAnsi="Times New Roman" w:cs="Times New Roman"/>
          <w:b w:val="0"/>
          <w:sz w:val="24"/>
          <w:szCs w:val="24"/>
        </w:rPr>
        <w:t>in embargo, los Clientes Profesionales tendrán derec</w:t>
      </w:r>
      <w:r w:rsidRPr="00A10867">
        <w:rPr>
          <w:rFonts w:ascii="Times New Roman" w:hAnsi="Times New Roman" w:cs="Times New Roman"/>
          <w:b w:val="0"/>
          <w:sz w:val="24"/>
          <w:szCs w:val="24"/>
        </w:rPr>
        <w:t xml:space="preserve">ho a las mismas obligaciones de </w:t>
      </w:r>
      <w:r w:rsidRPr="00A10867">
        <w:rPr>
          <w:rFonts w:ascii="Times New Roman" w:hAnsi="Times New Roman" w:cs="Times New Roman"/>
          <w:b w:val="0"/>
          <w:sz w:val="24"/>
          <w:szCs w:val="24"/>
        </w:rPr>
        <w:t>información que se aplican a los Clientes Privados.</w:t>
      </w:r>
    </w:p>
    <w:p w:rsidR="00C7105E" w:rsidRPr="00A87D8A" w:rsidRDefault="00C7105E" w:rsidP="00A87D8A">
      <w:pPr>
        <w:pStyle w:val="BodyText"/>
        <w:spacing w:line="360" w:lineRule="auto"/>
        <w:jc w:val="both"/>
        <w:rPr>
          <w:rFonts w:ascii="Times New Roman" w:hAnsi="Times New Roman" w:cs="Times New Roman"/>
          <w:b w:val="0"/>
          <w:sz w:val="24"/>
          <w:szCs w:val="24"/>
        </w:rPr>
      </w:pPr>
    </w:p>
    <w:sectPr w:rsidR="00C7105E" w:rsidRPr="00A87D8A" w:rsidSect="00A87D8A">
      <w:headerReference w:type="default" r:id="rId7"/>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AC7" w:rsidRDefault="006A4AC7" w:rsidP="00A10867">
      <w:r>
        <w:separator/>
      </w:r>
    </w:p>
  </w:endnote>
  <w:endnote w:type="continuationSeparator" w:id="0">
    <w:p w:rsidR="006A4AC7" w:rsidRDefault="006A4AC7" w:rsidP="00A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AC7" w:rsidRDefault="006A4AC7" w:rsidP="00A10867">
      <w:r>
        <w:separator/>
      </w:r>
    </w:p>
  </w:footnote>
  <w:footnote w:type="continuationSeparator" w:id="0">
    <w:p w:rsidR="006A4AC7" w:rsidRDefault="006A4AC7" w:rsidP="00A10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867" w:rsidRDefault="00A10867">
    <w:pPr>
      <w:pStyle w:val="Header"/>
    </w:pPr>
    <w:r>
      <w:rPr>
        <w:rFonts w:ascii="Arial" w:hAnsi="Arial" w:cs="Arial"/>
        <w:noProof/>
        <w:color w:val="000000"/>
        <w:bdr w:val="none" w:sz="0" w:space="0" w:color="auto" w:frame="1"/>
        <w:lang w:val="en-US"/>
      </w:rPr>
      <w:drawing>
        <wp:anchor distT="0" distB="0" distL="114300" distR="114300" simplePos="0" relativeHeight="251659264" behindDoc="0" locked="0" layoutInCell="1" allowOverlap="1" wp14:anchorId="2A05C567" wp14:editId="3A72C07B">
          <wp:simplePos x="0" y="0"/>
          <wp:positionH relativeFrom="column">
            <wp:posOffset>2409825</wp:posOffset>
          </wp:positionH>
          <wp:positionV relativeFrom="paragraph">
            <wp:posOffset>-276225</wp:posOffset>
          </wp:positionV>
          <wp:extent cx="1123950" cy="619125"/>
          <wp:effectExtent l="0" t="0" r="0" b="9525"/>
          <wp:wrapTopAndBottom/>
          <wp:docPr id="1" name="Picture 1" descr="https://lh7-rt.googleusercontent.com/docsz/AD_4nXdHnkxIaNgIreIsAYE0N_qsLEfaNwOANImQikGK69d_4sPzJq2ixsR6dfBKmgUlY2q0i9R_nffcWVjNiHVR_PWaBfhLz7fd84fepkfpKMDBhszab2DDDD6_T55OUafl8ZLGUROknw?key=moObqW0vnMwxUQ2XjfFYz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HnkxIaNgIreIsAYE0N_qsLEfaNwOANImQikGK69d_4sPzJq2ixsR6dfBKmgUlY2q0i9R_nffcWVjNiHVR_PWaBfhLz7fd84fepkfpKMDBhszab2DDDD6_T55OUafl8ZLGUROknw?key=moObqW0vnMwxUQ2XjfFYz1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619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9277A"/>
    <w:multiLevelType w:val="hybridMultilevel"/>
    <w:tmpl w:val="6B589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D5F82"/>
    <w:multiLevelType w:val="hybridMultilevel"/>
    <w:tmpl w:val="B29CA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44D84"/>
    <w:multiLevelType w:val="hybridMultilevel"/>
    <w:tmpl w:val="E16EE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15E69"/>
    <w:multiLevelType w:val="hybridMultilevel"/>
    <w:tmpl w:val="9DF2F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D37ED"/>
    <w:multiLevelType w:val="hybridMultilevel"/>
    <w:tmpl w:val="97588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9039D"/>
    <w:multiLevelType w:val="hybridMultilevel"/>
    <w:tmpl w:val="89DAF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2837D8"/>
    <w:multiLevelType w:val="hybridMultilevel"/>
    <w:tmpl w:val="69F2F5FC"/>
    <w:lvl w:ilvl="0" w:tplc="CAD4CA3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2720C"/>
    <w:multiLevelType w:val="hybridMultilevel"/>
    <w:tmpl w:val="0E60D4DC"/>
    <w:lvl w:ilvl="0" w:tplc="FD786BC6">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5E"/>
    <w:rsid w:val="006A4AC7"/>
    <w:rsid w:val="00A10867"/>
    <w:rsid w:val="00A87D8A"/>
    <w:rsid w:val="00C7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2AD3"/>
  <w15:docId w15:val="{CBF75FB2-2376-4B70-A94D-0244BF47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rFonts w:ascii="Arial" w:eastAsia="Arial" w:hAnsi="Arial" w:cs="Arial"/>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44"/>
    </w:pPr>
  </w:style>
  <w:style w:type="paragraph" w:styleId="Header">
    <w:name w:val="header"/>
    <w:basedOn w:val="Normal"/>
    <w:link w:val="HeaderChar"/>
    <w:uiPriority w:val="99"/>
    <w:unhideWhenUsed/>
    <w:rsid w:val="00A10867"/>
    <w:pPr>
      <w:tabs>
        <w:tab w:val="center" w:pos="4680"/>
        <w:tab w:val="right" w:pos="9360"/>
      </w:tabs>
    </w:pPr>
  </w:style>
  <w:style w:type="character" w:customStyle="1" w:styleId="HeaderChar">
    <w:name w:val="Header Char"/>
    <w:basedOn w:val="DefaultParagraphFont"/>
    <w:link w:val="Header"/>
    <w:uiPriority w:val="99"/>
    <w:rsid w:val="00A10867"/>
    <w:rPr>
      <w:rFonts w:ascii="Cambria" w:eastAsia="Cambria" w:hAnsi="Cambria" w:cs="Cambria"/>
      <w:lang w:val="es-ES"/>
    </w:rPr>
  </w:style>
  <w:style w:type="paragraph" w:styleId="Footer">
    <w:name w:val="footer"/>
    <w:basedOn w:val="Normal"/>
    <w:link w:val="FooterChar"/>
    <w:uiPriority w:val="99"/>
    <w:unhideWhenUsed/>
    <w:rsid w:val="00A10867"/>
    <w:pPr>
      <w:tabs>
        <w:tab w:val="center" w:pos="4680"/>
        <w:tab w:val="right" w:pos="9360"/>
      </w:tabs>
    </w:pPr>
  </w:style>
  <w:style w:type="character" w:customStyle="1" w:styleId="FooterChar">
    <w:name w:val="Footer Char"/>
    <w:basedOn w:val="DefaultParagraphFont"/>
    <w:link w:val="Footer"/>
    <w:uiPriority w:val="99"/>
    <w:rsid w:val="00A10867"/>
    <w:rPr>
      <w:rFonts w:ascii="Cambria" w:eastAsia="Cambria" w:hAnsi="Cambria" w:cs="Cambr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Apolinario</dc:creator>
  <cp:lastModifiedBy>Carolina Apolinario</cp:lastModifiedBy>
  <cp:revision>2</cp:revision>
  <dcterms:created xsi:type="dcterms:W3CDTF">2025-03-06T16:01:00Z</dcterms:created>
  <dcterms:modified xsi:type="dcterms:W3CDTF">2025-03-06T16:01:00Z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2016</vt:lpwstr>
  </property>
  <property fmtid="{D5CDD505-2E9C-101B-9397-08002B2CF9AE}" pid="4" name="LastSaved">
    <vt:filetime>2025-03-06T00:00:00Z</vt:filetime>
  </property>
  <property fmtid="{D5CDD505-2E9C-101B-9397-08002B2CF9AE}" pid="5" name="Producer">
    <vt:lpwstr>Microsoft® Word 2016</vt:lpwstr>
  </property>
</Properties>
</file>